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bookmarkStart w:id="0" w:name="_GoBack"/>
          <w:bookmarkEnd w:id="0"/>
          <w:p w14:paraId="3C3224EF" w14:textId="73BAF6BB"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都道府県知事（保健所設置市長</w:t>
            </w:r>
            <w:r w:rsidR="00362A21" w:rsidRPr="00D54FA3">
              <w:rPr>
                <w:rFonts w:asciiTheme="minorEastAsia" w:eastAsiaTheme="minorEastAsia" w:hAnsiTheme="minorEastAsia" w:hint="eastAsia"/>
                <w:color w:val="000000" w:themeColor="text1"/>
              </w:rPr>
              <w:t>又は特別区長</w:t>
            </w:r>
            <w:r w:rsidRPr="00D54FA3">
              <w:rPr>
                <w:rFonts w:asciiTheme="minorEastAsia" w:eastAsiaTheme="minorEastAsia" w:hAnsiTheme="minorEastAsia" w:hint="eastAsia"/>
                <w:color w:val="000000" w:themeColor="text1"/>
              </w:rPr>
              <w:t>）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default" r:id="rId8"/>
      <w:footerReference w:type="default" r:id="rId9"/>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443FCBB8"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237310BF" w:rsidR="0018578A" w:rsidRDefault="00311860">
    <w:pPr>
      <w:pStyle w:val="a3"/>
    </w:pPr>
    <w:r>
      <w:rPr>
        <w:rFonts w:hint="eastAsia"/>
      </w:rPr>
      <w:t>様式㉖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743C2"/>
    <w:rsid w:val="0018578A"/>
    <w:rsid w:val="001B2C4A"/>
    <w:rsid w:val="001D59C1"/>
    <w:rsid w:val="001E73F5"/>
    <w:rsid w:val="00214875"/>
    <w:rsid w:val="002276E6"/>
    <w:rsid w:val="002349C9"/>
    <w:rsid w:val="00260072"/>
    <w:rsid w:val="002E15AB"/>
    <w:rsid w:val="00311860"/>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D57A-EB0C-4D57-B069-1C4A1062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東京都</cp:lastModifiedBy>
  <cp:revision>6</cp:revision>
  <cp:lastPrinted>2021-07-30T09:59:00Z</cp:lastPrinted>
  <dcterms:created xsi:type="dcterms:W3CDTF">2021-07-30T10:21:00Z</dcterms:created>
  <dcterms:modified xsi:type="dcterms:W3CDTF">2021-09-14T08:06:00Z</dcterms:modified>
</cp:coreProperties>
</file>